
<file path=[Content_Types].xml><?xml version="1.0" encoding="utf-8"?>
<Types xmlns="http://schemas.openxmlformats.org/package/2006/content-types">
  <Default Extension="xml" ContentType="application/xml"/>
  <Default Extension="png" ContentType="image/png"/>
  <Default Extension="rels" ContentType="application/vnd.openxmlformats-package.relationships+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keepNext w:val="on"/>
        <w:widowControl w:val="on"/>
        <w:pBdr/>
        <w:spacing w:before="0" w:after="322" w:line="240" w:lineRule="auto"/>
        <w:ind w:left="0" w:right="0"/>
        <w:jc w:val="left"/>
        <w:outlineLvl w:val="0"/>
      </w:pPr>
      <w:r>
        <w:rPr>
          <w:b/>
          <w:color w:val="000000"/>
          <w:sz w:val="48"/>
          <w:szCs w:val="48"/>
        </w:rPr>
        <w:t xml:space="preserve">John Lothrop Motley Biography</w:t>
      </w:r>
    </w:p>
    <w:p>
      <w:pPr>
        <w:keepNext w:val="on"/>
        <w:widowControl w:val="on"/>
        <w:pBdr/>
        <w:spacing w:before="299" w:after="299" w:line="240" w:lineRule="auto"/>
        <w:ind w:left="0" w:right="0"/>
        <w:jc w:val="left"/>
        <w:outlineLvl w:val="1"/>
      </w:pPr>
      <w:r>
        <w:rPr>
          <w:b/>
          <w:color w:val="000000"/>
          <w:sz w:val="36"/>
          <w:szCs w:val="36"/>
        </w:rPr>
        <w:t xml:space="preserve">John Lothrop Motley</w:t>
      </w:r>
    </w:p>
    <w:p>
      <w:pPr>
        <w:widowControl w:val="on"/>
        <w:pBdr/>
        <w:spacing w:before="240" w:after="240" w:line="240" w:lineRule="auto"/>
        <w:ind w:left="0" w:right="0"/>
        <w:jc w:val="left"/>
      </w:pPr>
      <w:r>
        <w:rPr>
          <w:color w:val="000000"/>
          <w:sz w:val="24"/>
          <w:szCs w:val="24"/>
        </w:rPr>
        <w:t xml:space="preserve">The following sections of this BookRags Literature Study Guide is offprint from Gale's For Students Series: Presenting Analysis, Context, and Criticism on Commonly Studied Works: Introduction, Author Biography, Plot Summary, Characters, Themes, Style, Historical Context, Critical Overview, Criticism and Critical Essays, Media Adaptations, Topics for Further Study, Compare &amp; Contrast, What Do I Read Next?, For Further Study, and Sources.</w:t>
      </w:r>
    </w:p>
    <w:p>
      <w:pPr>
        <w:widowControl w:val="on"/>
        <w:pBdr/>
        <w:spacing w:before="240" w:after="240" w:line="240" w:lineRule="auto"/>
        <w:ind w:left="0" w:right="0"/>
        <w:jc w:val="left"/>
      </w:pPr>
      <w:r>
        <w:rPr>
          <w:color w:val="000000"/>
          <w:sz w:val="24"/>
          <w:szCs w:val="24"/>
        </w:rPr>
        <w:t xml:space="preserve">(c)1998-2002; (c)2002 by Gale. Gale is an imprint of The Gale Group, Inc., a division of Thomson Learning, Inc. Gale and Design and Thomson Learning are trademarks used herein under license.</w:t>
      </w:r>
    </w:p>
    <w:p>
      <w:pPr>
        <w:widowControl w:val="on"/>
        <w:pBdr/>
        <w:spacing w:before="240" w:after="240" w:line="240" w:lineRule="auto"/>
        <w:ind w:left="0" w:right="0"/>
        <w:jc w:val="left"/>
      </w:pPr>
      <w:r>
        <w:rPr>
          <w:color w:val="000000"/>
          <w:sz w:val="24"/>
          <w:szCs w:val="24"/>
        </w:rPr>
        <w:t xml:space="preserve">The following sections, if they exist, are offprint from Beacham's Encyclopedia of Popular Fiction: "Social Concerns", "Thematic Overview", "Techniques", "Literary Precedents", "Key Questions", "Related Titles", "Adaptations", "Related Web Sites". (c)1994-2005, by Walton Beacham.</w:t>
      </w:r>
    </w:p>
    <w:p>
      <w:pPr>
        <w:widowControl w:val="on"/>
        <w:pBdr/>
        <w:spacing w:before="240" w:after="240" w:line="240" w:lineRule="auto"/>
        <w:ind w:left="0" w:right="0"/>
        <w:jc w:val="left"/>
      </w:pPr>
      <w:r>
        <w:rPr>
          <w:color w:val="000000"/>
          <w:sz w:val="24"/>
          <w:szCs w:val="24"/>
        </w:rPr>
        <w:t xml:space="preserve">The following sections, if they exist, are offprint from Beacham's Guide to Literature for Young Adults: "About the Author", "Overview", "Setting", "Literary Qualities", "Social Sensitivity", "Topics for Discussion", "Ideas for Reports and Papers". (c)1994-2005, by Walton Beacham.</w:t>
      </w:r>
    </w:p>
    <w:p>
      <w:pPr>
        <w:widowControl w:val="on"/>
        <w:pBdr/>
        <w:spacing w:before="240" w:after="240" w:line="240" w:lineRule="auto"/>
        <w:ind w:left="0" w:right="0"/>
        <w:jc w:val="left"/>
      </w:pPr>
      <w:r>
        <w:rPr>
          <w:color w:val="000000"/>
          <w:sz w:val="24"/>
          <w:szCs w:val="24"/>
        </w:rPr>
        <w:t xml:space="preserve">All other sections in this Literature Study Guide are owned and copyrighted by BookRags, Inc.</w:t>
      </w:r>
    </w:p>
    <w:p>
      <w:pPr>
        <w:keepNext w:val="on"/>
        <w:pageBreakBefore w:val="on"/>
        <w:widowControl w:val="on"/>
        <w:pBdr/>
        <w:spacing w:before="0" w:after="322" w:line="240" w:lineRule="auto"/>
        <w:ind w:left="0" w:right="0"/>
        <w:jc w:val="left"/>
        <w:outlineLvl w:val="0"/>
      </w:pPr>
      <w:r>
        <w:rPr>
          <w:b/>
          <w:color w:val="000000"/>
          <w:sz w:val="48"/>
          <w:szCs w:val="48"/>
        </w:rPr>
        <w:t xml:space="preserve">Contents</w:t>
      </w:r>
    </w:p>
    <w:sdt>
      <w:stdPr>
        <w:id w:val="364502727"/>
        <w:docPartObj>
          <w:docPartGallery w:val="Table of Contents"/>
          <w:docPartUnique/>
        </w:docPartObj>
      </w:stdPr>
      <w:sdtContent>
        <w:p xmlns:w="http://schemas.openxmlformats.org/wordprocessingml/2006/main">
          <w:fldSimple w:instr="TOC \o &quot;1-1&quot; \h \z \u">
            <w:r>
              <w:rPr>
                <w:i/>
              </w:rPr>
              <w:t>This table of contents needs to be updated</w:t>
            </w:r>
          </w:fldSimple>
        </w:p>
      </w:sdtContent>
    </w:sdt>
    <w:p>
      <w:pPr>
        <w:keepNext w:val="on"/>
        <w:pageBreakBefore w:val="on"/>
        <w:widowControl w:val="on"/>
        <w:pBdr/>
        <w:spacing w:before="0" w:after="322" w:line="240" w:lineRule="auto"/>
        <w:ind w:left="0" w:right="0"/>
        <w:jc w:val="left"/>
        <w:outlineLvl w:val="0"/>
      </w:pPr>
      <w:r>
        <w:rPr>
          <w:b/>
          <w:color w:val="000000"/>
          <w:sz w:val="48"/>
          <w:szCs w:val="48"/>
        </w:rPr>
        <w:t xml:space="preserve">Biography</w:t>
      </w:r>
    </w:p>
    <w:p>
      <w:pPr>
        <w:widowControl w:val="on"/>
        <w:pBdr/>
        <w:spacing w:before="240" w:after="240" w:line="240" w:lineRule="auto"/>
        <w:ind w:left="0" w:right="0"/>
        <w:jc w:val="left"/>
      </w:pPr>
      <w:r>
        <w:rPr>
          <w:color w:val="000000"/>
          <w:sz w:val="24"/>
          <w:szCs w:val="24"/>
        </w:rPr>
        <w:t xml:space="preserve">The American historian and diplomat John Lothrop Motley (1814-1877) is best known for his outstanding history of the Dutch struggle for independence.</w:t>
      </w:r>
    </w:p>
    <w:p>
      <w:pPr>
        <w:widowControl w:val="on"/>
        <w:pBdr/>
        <w:spacing w:before="240" w:after="240" w:line="240" w:lineRule="auto"/>
        <w:ind w:left="0" w:right="0"/>
        <w:jc w:val="left"/>
      </w:pPr>
      <w:r>
        <w:rPr>
          <w:color w:val="000000"/>
          <w:sz w:val="24"/>
          <w:szCs w:val="24"/>
        </w:rPr>
        <w:t xml:space="preserve">John Lothrop Motley was born in Dorchester, Mass., on April 15, 1814, to an old New England merchant family. He studied under historian George Bancroft at the noted Round Hill School in Northampton, Mass., and then went on to Harvard. After graduating in 1831 Motley continued his studies in Germany at Göttingen and Berlin.</w:t>
      </w:r>
    </w:p>
    <w:p>
      <w:pPr>
        <w:widowControl w:val="on"/>
        <w:pBdr/>
        <w:spacing w:before="240" w:after="240" w:line="240" w:lineRule="auto"/>
        <w:ind w:left="0" w:right="0"/>
        <w:jc w:val="left"/>
      </w:pPr>
      <w:r>
        <w:rPr>
          <w:color w:val="000000"/>
          <w:sz w:val="24"/>
          <w:szCs w:val="24"/>
        </w:rPr>
        <w:t xml:space="preserve">After 1840 Motley pursued both a diplomat's and a historian's career. For a few months in 1841 he was secretary of the U.S. legation in St. Petersburg, Russia. In 1847 he settled on his life's work as a writer: the study of the struggle of the Netherlands for independence from Spain. "My subject," he wrote in retrospect, "had taken me up, drawn me on, and absorbed me into itself." Motley served as minister to Austria (1861-1867) and as minister to Great Britain (1869-1870).</w:t>
      </w:r>
    </w:p>
    <w:p>
      <w:pPr>
        <w:widowControl w:val="on"/>
        <w:pBdr/>
        <w:spacing w:before="240" w:after="240" w:line="240" w:lineRule="auto"/>
        <w:ind w:left="0" w:right="0"/>
        <w:jc w:val="left"/>
      </w:pPr>
      <w:r>
        <w:rPr>
          <w:color w:val="000000"/>
          <w:sz w:val="24"/>
          <w:szCs w:val="24"/>
        </w:rPr>
        <w:t xml:space="preserve">Motley's </w:t>
      </w:r>
      <w:r>
        <w:rPr>
          <w:i/>
          <w:color w:val="000000"/>
          <w:sz w:val="24"/>
          <w:szCs w:val="24"/>
        </w:rPr>
        <w:t xml:space="preserve">Rise of the Dutch Republic</w:t>
      </w:r>
      <w:r>
        <w:rPr>
          <w:color w:val="000000"/>
          <w:sz w:val="24"/>
          <w:szCs w:val="24"/>
        </w:rPr>
        <w:t xml:space="preserve"> (3 vols., 1856), published at his own expense, was an immediate success. Like other romantic historians, he wove his material into a picturesque, dramatic narrative dominated by striking personalities. His hero was William of Orange; his villain, Philip II. Motley's next work was </w:t>
      </w:r>
      <w:r>
        <w:rPr>
          <w:i/>
          <w:color w:val="000000"/>
          <w:sz w:val="24"/>
          <w:szCs w:val="24"/>
        </w:rPr>
        <w:t xml:space="preserve">The History of the United Netherlands</w:t>
      </w:r>
      <w:r>
        <w:rPr>
          <w:color w:val="000000"/>
          <w:sz w:val="24"/>
          <w:szCs w:val="24"/>
        </w:rPr>
        <w:t xml:space="preserve"> (4 vols., 1860-1867). He hoped to cap his lifework with a history of the Thirty Years War, but it remained undone. Instead, he published </w:t>
      </w:r>
      <w:r>
        <w:rPr>
          <w:i/>
          <w:color w:val="000000"/>
          <w:sz w:val="24"/>
          <w:szCs w:val="24"/>
        </w:rPr>
        <w:t xml:space="preserve">The Life and Death of John of Barneveld, Advocate of Holland</w:t>
      </w:r>
      <w:r>
        <w:rPr>
          <w:color w:val="000000"/>
          <w:sz w:val="24"/>
          <w:szCs w:val="24"/>
        </w:rPr>
        <w:t xml:space="preserve"> (1874), which included a study of the "causes and movements" of the Thirty Years War.</w:t>
      </w:r>
    </w:p>
    <w:p>
      <w:pPr>
        <w:widowControl w:val="on"/>
        <w:pBdr/>
        <w:spacing w:before="240" w:after="240" w:line="240" w:lineRule="auto"/>
        <w:ind w:left="0" w:right="0"/>
        <w:jc w:val="left"/>
      </w:pPr>
      <w:r>
        <w:rPr>
          <w:color w:val="000000"/>
          <w:sz w:val="24"/>
          <w:szCs w:val="24"/>
        </w:rPr>
        <w:t xml:space="preserve">Motley's work accented political and religious liberty and the threat to it posed by Catholicism and the Spanish monarchy. His Protestant bias was exceedingly strong. His passion for research and the artistry of his composition, however, made him a master historian. Oliver Wendell Holmes (1879) compared Motley's colorful style to Peter Paul Rubens's paintings. A serious flaw in Motley's books was his tendency to contrast the best of Protestant civilization with the worst of Catholicism. Yet the reader cannot withhold praise for the strength of characterization Motley gave historical figures. Later scholars wrote their own versions of the rise of the Dutch Republic, but they paid tribute to the vitality of Motley's narrative. He died at Frampton Court, England, on May 29, 1877.</w:t>
      </w:r>
    </w:p>
    <w:sectPr w:rsidR="00FA6635" w:rsidRPr="00FA6635" w:rsidSect="00213E50">
      <w:headerReference w:type="default" r:id="rId8"/>
      <w:footerReference w:type="default" r:id="rId9"/>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19A3CC27" w14:textId="77777777" w:rsidR="00184498" w:rsidRDefault="00184498" w:rsidP="00A8388D">
      <w:pPr>
        <w:spacing w:after="0" w:line="240" w:lineRule="auto"/>
      </w:pPr>
      <w:r>
        <w:separator/>
      </w:r>
    </w:p>
  </w:endnote>
  <w:endnote w:type="continuationSeparator" w:id="0">
    <w:p w14:paraId="78952A40" w14:textId="77777777" w:rsidR="00184498" w:rsidRDefault="00184498" w:rsidP="00A8388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auto"/>
    <w:pitch w:val="variable"/>
    <w:sig w:usb0="00000003" w:usb1="00000000" w:usb2="00000000" w:usb3="00000000" w:csb0="00000001" w:csb1="00000000"/>
  </w:font>
  <w:font w:name="Times New Roman">
    <w:panose1 w:val="02020603050405020304"/>
    <w:charset w:val="00"/>
    <w:family w:val="auto"/>
    <w:pitch w:val="variable"/>
    <w:sig w:usb0="00000003" w:usb1="00000000" w:usb2="00000000" w:usb3="00000000" w:csb0="00000001" w:csb1="00000000"/>
  </w:font>
  <w:font w:name="Cambria">
    <w:panose1 w:val="02040503050406030204"/>
    <w:charset w:val="00"/>
    <w:family w:val="auto"/>
    <w:pitch w:val="variable"/>
    <w:sig w:usb0="00000003" w:usb1="00000000" w:usb2="00000000" w:usb3="00000000" w:csb0="00000001" w:csb1="00000000"/>
  </w:font>
  <w:font w:name="ＭＳ ゴシック">
    <w:panose1 w:val="00000000000000000000"/>
    <w:charset w:val="80"/>
    <w:family w:val="modern"/>
    <w:notTrueType/>
    <w:pitch w:val="fixed"/>
    <w:sig w:usb0="00000001" w:usb1="08070000" w:usb2="00000010" w:usb3="00000000" w:csb0="00020000"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auto"/>
    <w:pitch w:val="variable"/>
    <w:sig w:usb0="00000003" w:usb1="00000000" w:usb2="00000000" w:usb3="00000000" w:csb0="00000001" w:csb1="00000000"/>
  </w:font>
  <w:font w:name="ＭＳ 明朝">
    <w:panose1 w:val="00000000000000000000"/>
    <w:charset w:val="80"/>
    <w:family w:val="roman"/>
    <w:notTrueType/>
    <w:pitch w:val="fixed"/>
    <w:sig w:usb0="00000001" w:usb1="08070000" w:usb2="00000010" w:usb3="00000000" w:csb0="00020000" w:csb1="00000000"/>
  </w:font>
</w:fonts>
</file>

<file path=word/footer1.xml><?xml version="1.0" encoding="utf-8"?>
<w:ft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2010742412"/>
      <w:docPartObj>
        <w:docPartGallery w:val="Page Numbers (Bottom of Page)"/>
        <w:docPartUnique/>
      </w:docPartObj>
    </w:sdtPr>
    <w:sdtEndPr>
      <w:rPr>
        <w:noProof/>
      </w:rPr>
    </w:sdtEndPr>
    <w:sdtContent>
      <w:p w14:paraId="0B166803" w14:textId="77777777" w:rsidR="00084080" w:rsidRDefault="00084080" w:rsidP="00084080">
        <w:pPr>
          <w:pStyle w:val="Footer"/>
          <w:jc w:val="center"/>
        </w:pPr>
        <w:r>
          <w:fldChar w:fldCharType="begin"/>
        </w:r>
        <w:r>
          <w:instrText xml:space="preserve"> PAGE   \* MERGEFORMAT </w:instrText>
        </w:r>
        <w:r>
          <w:fldChar w:fldCharType="separate"/>
        </w:r>
        <w:r w:rsidR="00CF425D">
          <w:rPr>
            <w:noProof/>
          </w:rPr>
          <w:t>2</w:t>
        </w:r>
        <w:r>
          <w:rPr>
            <w:noProof/>
          </w:rPr>
          <w:fldChar w:fldCharType="end"/>
        </w:r>
      </w:p>
    </w:sdtContent>
  </w:sdt>
  <w:p w14:paraId="75A104E4" w14:textId="77777777" w:rsidR="00084080" w:rsidRDefault="00084080">
    <w:pPr>
      <w:pStyle w:val="Footer"/>
    </w:pPr>
  </w:p>
</w:ftr>
</file>

<file path=word/footnotes.xml><?xml version="1.0" encoding="utf-8"?>
<w:foot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7022E0CE" w14:textId="77777777" w:rsidR="00184498" w:rsidRDefault="00184498" w:rsidP="00A8388D">
      <w:pPr>
        <w:spacing w:after="0" w:line="240" w:lineRule="auto"/>
      </w:pPr>
      <w:r>
        <w:separator/>
      </w:r>
    </w:p>
  </w:footnote>
  <w:footnote w:type="continuationSeparator" w:id="0">
    <w:p w14:paraId="640EA017" w14:textId="77777777" w:rsidR="00184498" w:rsidRDefault="00184498" w:rsidP="00A8388D">
      <w:pPr>
        <w:spacing w:after="0" w:line="240" w:lineRule="auto"/>
      </w:pPr>
      <w:r>
        <w:continuationSeparator/>
      </w:r>
    </w:p>
  </w:footnote>
</w:footnotes>
</file>

<file path=word/header1.xml><?xml version="1.0" encoding="utf-8"?>
<w:hd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6EFCF9D1" w14:textId="77777777" w:rsidR="00084080" w:rsidRDefault="00FA3DD9">
    <w:pPr>
      <w:pStyle w:val="Header"/>
    </w:pPr>
    <w:r>
      <w:rPr>
        <w:noProof/>
      </w:rPr>
      <w:drawing>
        <wp:anchor distT="0" distB="0" distL="114300" distR="114300" simplePos="0" relativeHeight="251659264" behindDoc="0" locked="0" layoutInCell="1" allowOverlap="1" wp14:anchorId="0B81C964" wp14:editId="0D17A55F">
          <wp:simplePos x="0" y="0"/>
          <wp:positionH relativeFrom="column">
            <wp:posOffset>-685800</wp:posOffset>
          </wp:positionH>
          <wp:positionV relativeFrom="paragraph">
            <wp:posOffset>-228600</wp:posOffset>
          </wp:positionV>
          <wp:extent cx="1907381" cy="457200"/>
          <wp:effectExtent l="0" t="0" r="0" b="0"/>
          <wp:wrapNone/>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907381" cy="457200"/>
                  </a:xfrm>
                  <a:prstGeom prst="rect">
                    <a:avLst/>
                  </a:prstGeom>
                  <a:noFill/>
                  <a:ln>
                    <a:noFill/>
                  </a:ln>
                  <a:extLst>
                    <a:ext uri="{FAA26D3D-D897-4be2-8F04-BA451C77F1D7}">
                      <ma14:placeholderFlag xmlns:ma14="http://schemas.microsoft.com/office/mac/drawingml/2011/main"/>
                    </a:ext>
                  </a:extLst>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95487396">
    <w:multiLevelType w:val="hybridMultilevel"/>
    <w:lvl w:ilvl="0" w:tplc="55467417">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95487396">
    <w:abstractNumId w:val="9548739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726628"/>
    <w:rsid w:val="00003DE8"/>
    <w:rsid w:val="000254D2"/>
    <w:rsid w:val="00084080"/>
    <w:rsid w:val="00117ED7"/>
    <w:rsid w:val="00176228"/>
    <w:rsid w:val="00184498"/>
    <w:rsid w:val="00213E50"/>
    <w:rsid w:val="00274F1F"/>
    <w:rsid w:val="003577FE"/>
    <w:rsid w:val="00373AFC"/>
    <w:rsid w:val="004748B2"/>
    <w:rsid w:val="00482523"/>
    <w:rsid w:val="006552AA"/>
    <w:rsid w:val="00726628"/>
    <w:rsid w:val="0075644D"/>
    <w:rsid w:val="00A735A7"/>
    <w:rsid w:val="00A8388D"/>
    <w:rsid w:val="00A8456A"/>
    <w:rsid w:val="00A92BC4"/>
    <w:rsid w:val="00B677F2"/>
    <w:rsid w:val="00BE736E"/>
    <w:rsid w:val="00C413F8"/>
    <w:rsid w:val="00CF425D"/>
    <w:rsid w:val="00E2561F"/>
    <w:rsid w:val="00E27857"/>
    <w:rsid w:val="00FA3DD9"/>
    <w:rsid w:val="00FA6635"/>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50"/>
    <o:shapelayout v:ext="edit">
      <o:idmap v:ext="edit" data="1"/>
    </o:shapelayout>
  </w:shapeDefaults>
  <w:decimalSymbol w:val="."/>
  <w:listSeparator w:val=","/>
  <w14:docId w14:val="4CF66324"/>
  <w:updateField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next w:val="Heading1"/>
    <w:qFormat/>
    <w:rsid w:val="004748B2"/>
  </w:style>
  <w:style w:type="paragraph" w:styleId="Heading1">
    <w:name w:val="heading 1"/>
    <w:basedOn w:val="Normal"/>
    <w:next w:val="Normal"/>
    <w:link w:val="Heading1Char"/>
    <w:uiPriority w:val="9"/>
    <w:qFormat/>
    <w:rsid w:val="004748B2"/>
    <w:pPr>
      <w:keepNext/>
      <w:keepLines/>
      <w:pageBreakBefore/>
      <w:spacing w:before="480" w:after="0"/>
      <w:outlineLvl w:val="0"/>
    </w:pPr>
    <w:rPr>
      <w:rFonts w:asciiTheme="majorHAnsi" w:eastAsiaTheme="majorEastAsia" w:hAnsiTheme="majorHAnsi" w:cstheme="majorBidi"/>
      <w:b/>
      <w:bCs/>
      <w:color w:val="365F91" w:themeColor="accent1" w:themeShade="BF"/>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A8388D"/>
    <w:pPr>
      <w:tabs>
        <w:tab w:val="center" w:pos="4680"/>
        <w:tab w:val="right" w:pos="9360"/>
      </w:tabs>
      <w:spacing w:after="0" w:line="240" w:lineRule="auto"/>
    </w:pPr>
  </w:style>
  <w:style w:type="character" w:customStyle="1" w:styleId="HeaderChar">
    <w:name w:val="Header Char"/>
    <w:basedOn w:val="DefaultParagraphFont"/>
    <w:link w:val="Header"/>
    <w:uiPriority w:val="99"/>
    <w:rsid w:val="00A8388D"/>
  </w:style>
  <w:style w:type="paragraph" w:styleId="Footer">
    <w:name w:val="footer"/>
    <w:basedOn w:val="Normal"/>
    <w:link w:val="FooterChar"/>
    <w:uiPriority w:val="99"/>
    <w:unhideWhenUsed/>
    <w:rsid w:val="00A8388D"/>
    <w:pPr>
      <w:tabs>
        <w:tab w:val="center" w:pos="4680"/>
        <w:tab w:val="right" w:pos="9360"/>
      </w:tabs>
      <w:spacing w:after="0" w:line="240" w:lineRule="auto"/>
    </w:pPr>
  </w:style>
  <w:style w:type="character" w:customStyle="1" w:styleId="FooterChar">
    <w:name w:val="Footer Char"/>
    <w:basedOn w:val="DefaultParagraphFont"/>
    <w:link w:val="Footer"/>
    <w:uiPriority w:val="99"/>
    <w:rsid w:val="00A8388D"/>
  </w:style>
  <w:style w:type="paragraph" w:styleId="BalloonText">
    <w:name w:val="Balloon Text"/>
    <w:basedOn w:val="Normal"/>
    <w:link w:val="BalloonTextChar"/>
    <w:uiPriority w:val="99"/>
    <w:semiHidden/>
    <w:unhideWhenUsed/>
    <w:rsid w:val="00A8388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A8388D"/>
    <w:rPr>
      <w:rFonts w:ascii="Tahoma" w:hAnsi="Tahoma" w:cs="Tahoma"/>
      <w:sz w:val="16"/>
      <w:szCs w:val="16"/>
    </w:rPr>
  </w:style>
  <w:style w:type="character" w:customStyle="1" w:styleId="Heading1Char">
    <w:name w:val="Heading 1 Char"/>
    <w:basedOn w:val="DefaultParagraphFont"/>
    <w:link w:val="Heading1"/>
    <w:uiPriority w:val="9"/>
    <w:rsid w:val="004748B2"/>
    <w:rPr>
      <w:rFonts w:asciiTheme="majorHAnsi" w:eastAsiaTheme="majorEastAsia" w:hAnsiTheme="majorHAnsi" w:cstheme="majorBidi"/>
      <w:b/>
      <w:bCs/>
      <w:color w:val="365F91" w:themeColor="accent1" w:themeShade="BF"/>
      <w:sz w:val="28"/>
      <w:szCs w:val="28"/>
    </w:rPr>
  </w:style>
  <w:style w:type="paragraph" w:styleId="TOCHeading">
    <w:name w:val="TOC Heading"/>
    <w:basedOn w:val="Heading1"/>
    <w:next w:val="Normal"/>
    <w:uiPriority w:val="39"/>
    <w:semiHidden/>
    <w:unhideWhenUsed/>
    <w:qFormat/>
    <w:rsid w:val="00084080"/>
    <w:pPr>
      <w:pageBreakBefore w:val="0"/>
      <w:outlineLvl w:val="9"/>
    </w:pPr>
    <w:rPr>
      <w:lang w:eastAsia="ja-JP"/>
    </w:rPr>
  </w:style>
  <w:style w:type="character"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CommentReferencePHPDOCX">
    <w:name w:val="annotation reference PHPDOCX"/>
    <w:basedOn w:val="DefaultParagraphFontPHPDOCX"/>
    <w:uiPriority w:val="99"/>
    <w:semiHidden/>
    <w:unhideWhenUsed/>
    <w:rsid w:val="00E139EA"/>
    <w:rPr>
      <w:sz w:val="16"/>
      <w:szCs w:val="16"/>
    </w:rPr>
  </w:style>
  <w:style w:type="paragraph" w:styleId="CommentTextPHPDOCX">
    <w:name w:val="annotation text PHPDOCX"/>
    <w:basedOn w:val="Normal"/>
    <w:link w:val="CommentTextCharPHPDOCX"/>
    <w:uiPriority w:val="99"/>
    <w:semiHidden/>
    <w:unhideWhenUsed/>
    <w:rsid w:val="00E139EA"/>
    <w:pPr>
      <w:spacing w:line="240" w:lineRule="auto"/>
    </w:pPr>
    <w:rPr>
      <w:sz w:val="20"/>
      <w:szCs w:val="20"/>
    </w:rPr>
  </w:style>
  <w:style w:type="character" w:customStyle="1" w:styleId="CommentTextCharPHPDOCX">
    <w:name w:val="Comment Text Char PHPDOCX"/>
    <w:basedOn w:val="DefaultParagraphFontPHPDOCX"/>
    <w:link w:val="CommentTextPHPDOCX"/>
    <w:uiPriority w:val="99"/>
    <w:semiHidden/>
    <w:rsid w:val="00E139EA"/>
    <w:rPr>
      <w:sz w:val="20"/>
      <w:szCs w:val="20"/>
    </w:rPr>
  </w:style>
  <w:style w:type="paragraph" w:styleId="CommentSubjectPHPDOCX">
    <w:name w:val="annotation subject PHPDOCX"/>
    <w:basedOn w:val="CommentTextPHPDOCX"/>
    <w:next w:val="CommentTextPHPDOCX"/>
    <w:link w:val="CommentSubjectCharPHPDOCX"/>
    <w:uiPriority w:val="99"/>
    <w:semiHidden/>
    <w:unhideWhenUsed/>
    <w:rsid w:val="00E139EA"/>
    <w:rPr>
      <w:b/>
      <w:bCs/>
    </w:rPr>
  </w:style>
  <w:style w:type="character" w:customStyle="1" w:styleId="CommentSubjectCharPHPDOCX">
    <w:name w:val="Comment Subject Char PHPDOCX"/>
    <w:basedOn w:val="CommentTextCharPHPDOCX"/>
    <w:link w:val="CommentSubjectPHPDOCX"/>
    <w:uiPriority w:val="99"/>
    <w:semiHidden/>
    <w:rsid w:val="00E139EA"/>
    <w:rPr>
      <w:b/>
      <w:bCs/>
      <w:sz w:val="20"/>
      <w:szCs w:val="20"/>
    </w:rPr>
  </w:style>
  <w:style w:type="paragraph" w:styleId="BalloonTextPHPDOCX">
    <w:name w:val="Balloon Text PHPDOCX"/>
    <w:basedOn w:val="Normal"/>
    <w:link w:val="BalloonTextCharPHPDOCX"/>
    <w:uiPriority w:val="99"/>
    <w:semiHidden/>
    <w:unhideWhenUsed/>
    <w:rsid w:val="00E139EA"/>
    <w:pPr>
      <w:spacing w:after="0" w:line="240" w:lineRule="auto"/>
    </w:pPr>
    <w:rPr>
      <w:rFonts w:ascii="Tahoma" w:hAnsi="Tahoma" w:cs="Tahoma"/>
      <w:sz w:val="16"/>
      <w:szCs w:val="16"/>
    </w:rPr>
  </w:style>
  <w:style w:type="character" w:customStyle="1" w:styleId="BalloonTextCharPHPDOCX">
    <w:name w:val="Balloon Text Char PHPDOCX"/>
    <w:basedOn w:val="DefaultParagraphFontPHPDOCX"/>
    <w:link w:val="BalloonTextPHPDOCX"/>
    <w:uiPriority w:val="99"/>
    <w:semiHidden/>
    <w:rsid w:val="00E139EA"/>
    <w:rPr>
      <w:rFonts w:ascii="Tahoma" w:hAnsi="Tahoma" w:cs="Tahoma"/>
      <w:sz w:val="16"/>
      <w:szCs w:val="16"/>
    </w:r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next w:val="Heading1"/>
    <w:qFormat/>
    <w:rsid w:val="004748B2"/>
  </w:style>
  <w:style w:type="paragraph" w:styleId="Heading1">
    <w:name w:val="heading 1"/>
    <w:basedOn w:val="Normal"/>
    <w:next w:val="Normal"/>
    <w:link w:val="Heading1Char"/>
    <w:uiPriority w:val="9"/>
    <w:qFormat/>
    <w:rsid w:val="004748B2"/>
    <w:pPr>
      <w:keepNext/>
      <w:keepLines/>
      <w:pageBreakBefore/>
      <w:spacing w:before="480" w:after="0"/>
      <w:outlineLvl w:val="0"/>
    </w:pPr>
    <w:rPr>
      <w:rFonts w:asciiTheme="majorHAnsi" w:eastAsiaTheme="majorEastAsia" w:hAnsiTheme="majorHAnsi" w:cstheme="majorBidi"/>
      <w:b/>
      <w:bCs/>
      <w:color w:val="365F91" w:themeColor="accent1" w:themeShade="BF"/>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A8388D"/>
    <w:pPr>
      <w:tabs>
        <w:tab w:val="center" w:pos="4680"/>
        <w:tab w:val="right" w:pos="9360"/>
      </w:tabs>
      <w:spacing w:after="0" w:line="240" w:lineRule="auto"/>
    </w:pPr>
  </w:style>
  <w:style w:type="character" w:customStyle="1" w:styleId="HeaderChar">
    <w:name w:val="Header Char"/>
    <w:basedOn w:val="DefaultParagraphFont"/>
    <w:link w:val="Header"/>
    <w:uiPriority w:val="99"/>
    <w:rsid w:val="00A8388D"/>
  </w:style>
  <w:style w:type="paragraph" w:styleId="Footer">
    <w:name w:val="footer"/>
    <w:basedOn w:val="Normal"/>
    <w:link w:val="FooterChar"/>
    <w:uiPriority w:val="99"/>
    <w:unhideWhenUsed/>
    <w:rsid w:val="00A8388D"/>
    <w:pPr>
      <w:tabs>
        <w:tab w:val="center" w:pos="4680"/>
        <w:tab w:val="right" w:pos="9360"/>
      </w:tabs>
      <w:spacing w:after="0" w:line="240" w:lineRule="auto"/>
    </w:pPr>
  </w:style>
  <w:style w:type="character" w:customStyle="1" w:styleId="FooterChar">
    <w:name w:val="Footer Char"/>
    <w:basedOn w:val="DefaultParagraphFont"/>
    <w:link w:val="Footer"/>
    <w:uiPriority w:val="99"/>
    <w:rsid w:val="00A8388D"/>
  </w:style>
  <w:style w:type="paragraph" w:styleId="BalloonText">
    <w:name w:val="Balloon Text"/>
    <w:basedOn w:val="Normal"/>
    <w:link w:val="BalloonTextChar"/>
    <w:uiPriority w:val="99"/>
    <w:semiHidden/>
    <w:unhideWhenUsed/>
    <w:rsid w:val="00A8388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A8388D"/>
    <w:rPr>
      <w:rFonts w:ascii="Tahoma" w:hAnsi="Tahoma" w:cs="Tahoma"/>
      <w:sz w:val="16"/>
      <w:szCs w:val="16"/>
    </w:rPr>
  </w:style>
  <w:style w:type="character" w:customStyle="1" w:styleId="Heading1Char">
    <w:name w:val="Heading 1 Char"/>
    <w:basedOn w:val="DefaultParagraphFont"/>
    <w:link w:val="Heading1"/>
    <w:uiPriority w:val="9"/>
    <w:rsid w:val="004748B2"/>
    <w:rPr>
      <w:rFonts w:asciiTheme="majorHAnsi" w:eastAsiaTheme="majorEastAsia" w:hAnsiTheme="majorHAnsi" w:cstheme="majorBidi"/>
      <w:b/>
      <w:bCs/>
      <w:color w:val="365F91" w:themeColor="accent1" w:themeShade="BF"/>
      <w:sz w:val="28"/>
      <w:szCs w:val="28"/>
    </w:rPr>
  </w:style>
  <w:style w:type="paragraph" w:styleId="TOCHeading">
    <w:name w:val="TOC Heading"/>
    <w:basedOn w:val="Heading1"/>
    <w:next w:val="Normal"/>
    <w:uiPriority w:val="39"/>
    <w:semiHidden/>
    <w:unhideWhenUsed/>
    <w:qFormat/>
    <w:rsid w:val="00084080"/>
    <w:pPr>
      <w:pageBreakBefore w:val="0"/>
      <w:outlineLvl w:val="9"/>
    </w:pPr>
    <w:rPr>
      <w:lang w:eastAsia="ja-JP"/>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doNotSaveAsSingleFile/>
</w:webSettings>
</file>

<file path=word/_rels/document.xml.rels><?xml version="1.0" encoding="UTF-8" standalone="yes"?>
<Relationships xmlns="http://schemas.openxmlformats.org/package/2006/relationships"><Relationship Id="rId3" Type="http://schemas.microsoft.com/office/2007/relationships/stylesWithEffects" Target="stylesWithEffects.xml"/><Relationship Id="rId4" Type="http://schemas.openxmlformats.org/officeDocument/2006/relationships/settings" Target="settings.xml"/><Relationship Id="rId5" Type="http://schemas.openxmlformats.org/officeDocument/2006/relationships/webSettings" Target="webSettings.xml"/><Relationship Id="rId6" Type="http://schemas.openxmlformats.org/officeDocument/2006/relationships/footnotes" Target="footnotes.xml"/><Relationship Id="rId7" Type="http://schemas.openxmlformats.org/officeDocument/2006/relationships/endnotes" Target="endnotes.xml"/><Relationship Id="rId8" Type="http://schemas.openxmlformats.org/officeDocument/2006/relationships/header" Target="header1.xml"/><Relationship Id="rId9" Type="http://schemas.openxmlformats.org/officeDocument/2006/relationships/footer" Target="footer1.xml"/><Relationship Id="rId10" Type="http://schemas.openxmlformats.org/officeDocument/2006/relationships/fontTable" Target="fontTable.xml"/><Relationship Id="rId11"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styles" Target="styles.xml"/><Relationship Id="rI711090181" Type="http://schemas.openxmlformats.org/officeDocument/2006/relationships/numbering" Target="numbering.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AB3199CF-FB44-E149-9536-65C0BC28A99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24</TotalTime>
  <Pages>1</Pages>
  <Words>1</Words>
  <Characters>10</Characters>
  <Application>Microsoft Macintosh Word</Application>
  <DocSecurity>0</DocSecurity>
  <Lines>1</Lines>
  <Paragraphs>1</Paragraphs>
  <ScaleCrop>false</ScaleCrop>
  <HeadingPairs>
    <vt:vector size="2" baseType="variant">
      <vt:variant>
        <vt:lpstr>Title</vt:lpstr>
      </vt:variant>
      <vt:variant>
        <vt:i4>1</vt:i4>
      </vt:variant>
    </vt:vector>
  </HeadingPairs>
  <TitlesOfParts>
    <vt:vector size="1" baseType="lpstr">
      <vt:lpstr/>
    </vt:vector>
  </TitlesOfParts>
  <Company>BookRags, Inc.</Company>
  <LinksUpToDate>false</LinksUpToDate>
  <CharactersWithSpaces>10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Damian Wadley</dc:creator>
  <cp:keywords/>
  <dc:description/>
  <cp:lastModifiedBy>First name</cp:lastModifiedBy>
  <cp:revision>14</cp:revision>
  <dcterms:created xsi:type="dcterms:W3CDTF">2014-04-10T22:38:00Z</dcterms:created>
  <dcterms:modified xsi:type="dcterms:W3CDTF">2014-10-13T22:53:00Z</dcterms:modified>
</cp:coreProperties>
</file>