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keepNext w:val="on"/>
        <w:widowControl w:val="on"/>
        <w:pBdr/>
        <w:spacing w:before="0" w:after="322" w:line="240" w:lineRule="auto"/>
        <w:ind w:left="0" w:right="0"/>
        <w:jc w:val="left"/>
        <w:outlineLvl w:val="0"/>
      </w:pPr>
      <w:r>
        <w:rPr>
          <w:b/>
          <w:color w:val="000000"/>
          <w:sz w:val="48"/>
          <w:szCs w:val="48"/>
        </w:rPr>
        <w:t xml:space="preserve">Copper Encyclopedia Article</w:t>
      </w:r>
    </w:p>
    <w:p>
      <w:pPr>
        <w:keepNext w:val="on"/>
        <w:widowControl w:val="on"/>
        <w:pBdr/>
        <w:spacing w:before="299" w:after="299" w:line="240" w:lineRule="auto"/>
        <w:ind w:left="0" w:right="0"/>
        <w:jc w:val="left"/>
        <w:outlineLvl w:val="1"/>
      </w:pPr>
      <w:r>
        <w:rPr>
          <w:b/>
          <w:color w:val="000000"/>
          <w:sz w:val="36"/>
          <w:szCs w:val="36"/>
        </w:rPr>
        <w:t xml:space="preserve">Copper</w:t>
      </w:r>
    </w:p>
    <w:p>
      <w:pPr>
        <w:widowControl w:val="on"/>
        <w:pBdr/>
        <w:spacing w:before="240" w:after="240" w:line="240" w:lineRule="auto"/>
        <w:ind w:left="0" w:right="0"/>
        <w:jc w:val="left"/>
      </w:pPr>
      <w:r>
        <w:rPr>
          <w:color w:val="000000"/>
          <w:sz w:val="24"/>
          <w:szCs w:val="24"/>
        </w:rPr>
        <w:t xml:space="preserve">The following sections of this BookRags Literature Study Guide is offprint from Gale's For Students Series: Presenting Analysis, Context, and Criticism on Commonly Studied Works: Introduction, Author Biography, Plot Summary, Characters, Themes, Style, Historical Context, Critical Overview, Criticism and Critical Essays, Media Adaptations, Topics for Further Study, Compare &amp; Contrast, What Do I Read Next?, For Further Study, and Sources.</w:t>
      </w:r>
    </w:p>
    <w:p>
      <w:pPr>
        <w:widowControl w:val="on"/>
        <w:pBdr/>
        <w:spacing w:before="240" w:after="240" w:line="240" w:lineRule="auto"/>
        <w:ind w:left="0" w:right="0"/>
        <w:jc w:val="left"/>
      </w:pPr>
      <w:r>
        <w:rPr>
          <w:color w:val="000000"/>
          <w:sz w:val="24"/>
          <w:szCs w:val="24"/>
        </w:rPr>
        <w:t xml:space="preserve">(c)1998-2002; (c)2002 by Gale. Gale is an imprint of The Gale Group, Inc., a division of Thomson Learning, Inc. Gale and Design and Thomson Learning are trademarks used herein under license.</w:t>
      </w:r>
    </w:p>
    <w:p>
      <w:pPr>
        <w:widowControl w:val="on"/>
        <w:pBdr/>
        <w:spacing w:before="240" w:after="240" w:line="240" w:lineRule="auto"/>
        <w:ind w:left="0" w:right="0"/>
        <w:jc w:val="left"/>
      </w:pPr>
      <w:r>
        <w:rPr>
          <w:color w:val="000000"/>
          <w:sz w:val="24"/>
          <w:szCs w:val="24"/>
        </w:rPr>
        <w:t xml:space="preserve">The following sections, if they exist, are offprint from Beacham's Encyclopedia of Popular Fiction: "Social Concerns", "Thematic Overview", "Techniques", "Literary Precedents", "Key Questions", "Related Titles", "Adaptations", "Related Web Sites". (c)1994-2005, by Walton Beacham.</w:t>
      </w:r>
    </w:p>
    <w:p>
      <w:pPr>
        <w:widowControl w:val="on"/>
        <w:pBdr/>
        <w:spacing w:before="240" w:after="240" w:line="240" w:lineRule="auto"/>
        <w:ind w:left="0" w:right="0"/>
        <w:jc w:val="left"/>
      </w:pPr>
      <w:r>
        <w:rPr>
          <w:color w:val="000000"/>
          <w:sz w:val="24"/>
          <w:szCs w:val="24"/>
        </w:rPr>
        <w:t xml:space="preserve">The following sections, if they exist, are offprint from Beacham's Guide to Literature for Young Adults: "About the Author", "Overview", "Setting", "Literary Qualities", "Social Sensitivity", "Topics for Discussion", "Ideas for Reports and Papers". (c)1994-2005, by Walton Beacham.</w:t>
      </w:r>
    </w:p>
    <w:p>
      <w:pPr>
        <w:widowControl w:val="on"/>
        <w:pBdr/>
        <w:spacing w:before="240" w:after="240" w:line="240" w:lineRule="auto"/>
        <w:ind w:left="0" w:right="0"/>
        <w:jc w:val="left"/>
      </w:pPr>
      <w:r>
        <w:rPr>
          <w:color w:val="000000"/>
          <w:sz w:val="24"/>
          <w:szCs w:val="24"/>
        </w:rPr>
        <w:t xml:space="preserve">All other sections in this Literature Study Guide are owned and copyrighted by BookRags, Inc.</w:t>
      </w:r>
    </w:p>
    <w:p>
      <w:pPr>
        <w:keepNext w:val="on"/>
        <w:pageBreakBefore w:val="on"/>
        <w:widowControl w:val="on"/>
        <w:pBdr/>
        <w:spacing w:before="0" w:after="322" w:line="240" w:lineRule="auto"/>
        <w:ind w:left="0" w:right="0"/>
        <w:jc w:val="left"/>
        <w:outlineLvl w:val="0"/>
      </w:pPr>
      <w:r>
        <w:rPr>
          <w:b/>
          <w:color w:val="000000"/>
          <w:sz w:val="48"/>
          <w:szCs w:val="48"/>
        </w:rPr>
        <w:t xml:space="preserve">Contents</w:t>
      </w:r>
    </w:p>
    <w:sdt>
      <w:stdPr>
        <w:id w:val="585237252"/>
        <w:docPartObj>
          <w:docPartGallery w:val="Table of Contents"/>
          <w:docPartUnique/>
        </w:docPartObj>
      </w:stdPr>
      <w:sdtContent>
        <w:p xmlns:w="http://schemas.openxmlformats.org/wordprocessingml/2006/main">
          <w:fldSimple w:instr="TOC \o &quot;1-1&quot; \h \z \u">
            <w:r>
              <w:rPr>
                <w:i/>
              </w:rPr>
              <w:t>This table of contents needs to be updated</w:t>
            </w:r>
          </w:fldSimple>
        </w:p>
      </w:sdtContent>
    </w:sdt>
    <w:p>
      <w:pPr>
        <w:keepNext w:val="on"/>
        <w:pageBreakBefore w:val="on"/>
        <w:widowControl w:val="on"/>
        <w:pBdr/>
        <w:spacing w:before="0" w:after="322" w:line="240" w:lineRule="auto"/>
        <w:ind w:left="0" w:right="0"/>
        <w:jc w:val="left"/>
        <w:outlineLvl w:val="0"/>
      </w:pPr>
      <w:r>
        <w:rPr>
          <w:b/>
          <w:color w:val="000000"/>
          <w:sz w:val="48"/>
          <w:szCs w:val="48"/>
        </w:rPr>
        <w:t xml:space="preserve">Copper</w:t>
      </w:r>
    </w:p>
    <w:p>
      <w:pPr>
        <w:widowControl w:val="on"/>
        <w:pBdr/>
        <w:spacing w:before="240" w:after="240" w:line="240" w:lineRule="auto"/>
        <w:ind w:left="0" w:right="0"/>
        <w:jc w:val="left"/>
      </w:pPr>
      <w:r>
        <w:rPr>
          <w:color w:val="000000"/>
          <w:sz w:val="24"/>
          <w:szCs w:val="24"/>
        </w:rPr>
        <w:t xml:space="preserve">A metallic element with an atomic number of 29. It is abbreviated Cu and has an atomic weight of 63.546. Copper is a micronutrient which is needed in many proteins and enzymes. Copper has been and is frequently used in piping systems which convey potable water. Corrosive waters will leach copper from the pipelines, thereby exposing consumers to copper and possibly creating bluish-green stains on household fixtures and clothes. The staining of household fixtures becomes a nuisance when copper levels reach 2–3 mg/l. The drinking water standard for copper is 1 mg/l. It is a secondary standard based on the potential problems of staining and</w:t>
      </w:r>
    </w:p>
    <w:sectPr w:rsidR="00FA6635" w:rsidRPr="00FA6635" w:rsidSect="00213E50">
      <w:headerReference w:type="default"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9A3CC27" w14:textId="77777777" w:rsidR="00184498" w:rsidRDefault="00184498" w:rsidP="00A8388D">
      <w:pPr>
        <w:spacing w:after="0" w:line="240" w:lineRule="auto"/>
      </w:pPr>
      <w:r>
        <w:separator/>
      </w:r>
    </w:p>
  </w:endnote>
  <w:endnote w:type="continuationSeparator" w:id="0">
    <w:p w14:paraId="78952A40" w14:textId="77777777" w:rsidR="00184498" w:rsidRDefault="00184498" w:rsidP="00A838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10742412"/>
      <w:docPartObj>
        <w:docPartGallery w:val="Page Numbers (Bottom of Page)"/>
        <w:docPartUnique/>
      </w:docPartObj>
    </w:sdtPr>
    <w:sdtEndPr>
      <w:rPr>
        <w:noProof/>
      </w:rPr>
    </w:sdtEndPr>
    <w:sdtContent>
      <w:p w14:paraId="0B166803" w14:textId="77777777" w:rsidR="00084080" w:rsidRDefault="00084080" w:rsidP="00084080">
        <w:pPr>
          <w:pStyle w:val="Footer"/>
          <w:jc w:val="center"/>
        </w:pPr>
        <w:r>
          <w:fldChar w:fldCharType="begin"/>
        </w:r>
        <w:r>
          <w:instrText xml:space="preserve"> PAGE   \* MERGEFORMAT </w:instrText>
        </w:r>
        <w:r>
          <w:fldChar w:fldCharType="separate"/>
        </w:r>
        <w:r w:rsidR="00CF425D">
          <w:rPr>
            <w:noProof/>
          </w:rPr>
          <w:t>2</w:t>
        </w:r>
        <w:r>
          <w:rPr>
            <w:noProof/>
          </w:rPr>
          <w:fldChar w:fldCharType="end"/>
        </w:r>
      </w:p>
    </w:sdtContent>
  </w:sdt>
  <w:p w14:paraId="75A104E4" w14:textId="77777777" w:rsidR="00084080" w:rsidRDefault="00084080">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022E0CE" w14:textId="77777777" w:rsidR="00184498" w:rsidRDefault="00184498" w:rsidP="00A8388D">
      <w:pPr>
        <w:spacing w:after="0" w:line="240" w:lineRule="auto"/>
      </w:pPr>
      <w:r>
        <w:separator/>
      </w:r>
    </w:p>
  </w:footnote>
  <w:footnote w:type="continuationSeparator" w:id="0">
    <w:p w14:paraId="640EA017" w14:textId="77777777" w:rsidR="00184498" w:rsidRDefault="00184498" w:rsidP="00A8388D">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FCF9D1" w14:textId="77777777" w:rsidR="00084080" w:rsidRDefault="00FA3DD9">
    <w:pPr>
      <w:pStyle w:val="Header"/>
    </w:pPr>
    <w:r>
      <w:rPr>
        <w:noProof/>
      </w:rPr>
      <w:drawing>
        <wp:anchor distT="0" distB="0" distL="114300" distR="114300" simplePos="0" relativeHeight="251659264" behindDoc="0" locked="0" layoutInCell="1" allowOverlap="1" wp14:anchorId="0B81C964" wp14:editId="0D17A55F">
          <wp:simplePos x="0" y="0"/>
          <wp:positionH relativeFrom="column">
            <wp:posOffset>-685800</wp:posOffset>
          </wp:positionH>
          <wp:positionV relativeFrom="paragraph">
            <wp:posOffset>-228600</wp:posOffset>
          </wp:positionV>
          <wp:extent cx="1907381" cy="4572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07381" cy="457200"/>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2405679">
    <w:multiLevelType w:val="hybridMultilevel"/>
    <w:lvl w:ilvl="0" w:tplc="3059787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nsid w:val="4E030807"/>
    <w:multiLevelType w:val="multilevel"/>
    <w:tmpl w:val="0C0A0025"/>
    <w:lvl w:ilvl="0">
      <w:start w:val="1"/>
      <w:numFmt w:val="decimal"/>
      <w:pStyle w:val="Heading1PHPDOCX"/>
      <w:lvlText w:val="%1"/>
      <w:lvlJc w:val="left"/>
      <w:pPr>
        <w:ind w:left="432" w:hanging="432"/>
      </w:pPr>
    </w:lvl>
    <w:lvl w:ilvl="1">
      <w:start w:val="1"/>
      <w:numFmt w:val="decimal"/>
      <w:pStyle w:val="Heading2PHPDOCX"/>
      <w:lvlText w:val="%1.%2"/>
      <w:lvlJc w:val="left"/>
      <w:pPr>
        <w:ind w:left="576" w:hanging="576"/>
      </w:pPr>
    </w:lvl>
    <w:lvl w:ilvl="2">
      <w:start w:val="1"/>
      <w:numFmt w:val="decimal"/>
      <w:pStyle w:val="Heading3PHPDOCX"/>
      <w:lvlText w:val="%1.%2.%3"/>
      <w:lvlJc w:val="left"/>
      <w:pPr>
        <w:ind w:left="720" w:hanging="720"/>
      </w:pPr>
    </w:lvl>
    <w:lvl w:ilvl="3">
      <w:start w:val="1"/>
      <w:numFmt w:val="decimal"/>
      <w:pStyle w:val="Heading4PHPDOCX"/>
      <w:lvlText w:val="%1.%2.%3.%4"/>
      <w:lvlJc w:val="left"/>
      <w:pPr>
        <w:ind w:left="864" w:hanging="864"/>
      </w:pPr>
    </w:lvl>
    <w:lvl w:ilvl="4">
      <w:start w:val="1"/>
      <w:numFmt w:val="decimal"/>
      <w:pStyle w:val="Heading5PHPDOCX"/>
      <w:lvlText w:val="%1.%2.%3.%4.%5"/>
      <w:lvlJc w:val="left"/>
      <w:pPr>
        <w:ind w:left="1008" w:hanging="1008"/>
      </w:pPr>
    </w:lvl>
    <w:lvl w:ilvl="5">
      <w:start w:val="1"/>
      <w:numFmt w:val="decimal"/>
      <w:pStyle w:val="Heading6PHPDOCX"/>
      <w:lvlText w:val="%1.%2.%3.%4.%5.%6"/>
      <w:lvlJc w:val="left"/>
      <w:pPr>
        <w:ind w:left="1152" w:hanging="1152"/>
      </w:pPr>
    </w:lvl>
    <w:lvl w:ilvl="6">
      <w:start w:val="1"/>
      <w:numFmt w:val="decimal"/>
      <w:pStyle w:val="Heading7PHPDOCX"/>
      <w:lvlText w:val="%1.%2.%3.%4.%5.%6.%7"/>
      <w:lvlJc w:val="left"/>
      <w:pPr>
        <w:ind w:left="1296" w:hanging="1296"/>
      </w:pPr>
    </w:lvl>
    <w:lvl w:ilvl="7">
      <w:start w:val="1"/>
      <w:numFmt w:val="decimal"/>
      <w:pStyle w:val="Heading8PHPDOCX"/>
      <w:lvlText w:val="%1.%2.%3.%4.%5.%6.%7.%8"/>
      <w:lvlJc w:val="left"/>
      <w:pPr>
        <w:ind w:left="1440" w:hanging="1440"/>
      </w:pPr>
    </w:lvl>
    <w:lvl w:ilvl="8">
      <w:start w:val="1"/>
      <w:numFmt w:val="decimal"/>
      <w:pStyle w:val="Heading9PHPDOCX"/>
      <w:lvlText w:val="%1.%2.%3.%4.%5.%6.%7.%8.%9"/>
      <w:lvlJc w:val="left"/>
      <w:pPr>
        <w:ind w:left="1584" w:hanging="1584"/>
      </w:pPr>
    </w:lvl>
  </w:abstractNum>
  <w:abstractNum w:abstractNumId="3">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5"/>
  </w:num>
  <w:num w:numId="3">
    <w:abstractNumId w:val="6"/>
  </w:num>
  <w:num w:numId="4">
    <w:abstractNumId w:val="4"/>
  </w:num>
  <w:num w:numId="5">
    <w:abstractNumId w:val="1"/>
  </w:num>
  <w:num w:numId="6">
    <w:abstractNumId w:val="0"/>
  </w:num>
  <w:num w:numId="7">
    <w:abstractNumId w:val="2"/>
  </w:num>
  <w:num w:numId="62405679">
    <w:abstractNumId w:val="624056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6628"/>
    <w:rsid w:val="00003DE8"/>
    <w:rsid w:val="000254D2"/>
    <w:rsid w:val="00084080"/>
    <w:rsid w:val="00117ED7"/>
    <w:rsid w:val="00176228"/>
    <w:rsid w:val="00184498"/>
    <w:rsid w:val="00213E50"/>
    <w:rsid w:val="00274F1F"/>
    <w:rsid w:val="003577FE"/>
    <w:rsid w:val="00373AFC"/>
    <w:rsid w:val="004748B2"/>
    <w:rsid w:val="00482523"/>
    <w:rsid w:val="006552AA"/>
    <w:rsid w:val="00726628"/>
    <w:rsid w:val="0075644D"/>
    <w:rsid w:val="00A735A7"/>
    <w:rsid w:val="00A8388D"/>
    <w:rsid w:val="00A8456A"/>
    <w:rsid w:val="00A92BC4"/>
    <w:rsid w:val="00B677F2"/>
    <w:rsid w:val="00BE736E"/>
    <w:rsid w:val="00C413F8"/>
    <w:rsid w:val="00CF425D"/>
    <w:rsid w:val="00E2561F"/>
    <w:rsid w:val="00E27857"/>
    <w:rsid w:val="00FA3DD9"/>
    <w:rsid w:val="00FA663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4CF66324"/>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Heading1"/>
    <w:qFormat/>
    <w:rsid w:val="004748B2"/>
  </w:style>
  <w:style w:type="paragraph" w:styleId="Heading1">
    <w:name w:val="heading 1"/>
    <w:basedOn w:val="Normal"/>
    <w:next w:val="Normal"/>
    <w:link w:val="Heading1Char"/>
    <w:uiPriority w:val="9"/>
    <w:qFormat/>
    <w:rsid w:val="004748B2"/>
    <w:pPr>
      <w:keepNext/>
      <w:keepLines/>
      <w:pageBreakBefore/>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838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388D"/>
  </w:style>
  <w:style w:type="paragraph" w:styleId="Footer">
    <w:name w:val="footer"/>
    <w:basedOn w:val="Normal"/>
    <w:link w:val="FooterChar"/>
    <w:uiPriority w:val="99"/>
    <w:unhideWhenUsed/>
    <w:rsid w:val="00A838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388D"/>
  </w:style>
  <w:style w:type="paragraph" w:styleId="BalloonText">
    <w:name w:val="Balloon Text"/>
    <w:basedOn w:val="Normal"/>
    <w:link w:val="BalloonTextChar"/>
    <w:uiPriority w:val="99"/>
    <w:semiHidden/>
    <w:unhideWhenUsed/>
    <w:rsid w:val="00A838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388D"/>
    <w:rPr>
      <w:rFonts w:ascii="Tahoma" w:hAnsi="Tahoma" w:cs="Tahoma"/>
      <w:sz w:val="16"/>
      <w:szCs w:val="16"/>
    </w:rPr>
  </w:style>
  <w:style w:type="character" w:customStyle="1" w:styleId="Heading1Char">
    <w:name w:val="Heading 1 Char"/>
    <w:basedOn w:val="DefaultParagraphFont"/>
    <w:link w:val="Heading1"/>
    <w:uiPriority w:val="9"/>
    <w:rsid w:val="004748B2"/>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084080"/>
    <w:pPr>
      <w:pageBreakBefore w:val="0"/>
      <w:outlineLvl w:val="9"/>
    </w:pPr>
    <w:rPr>
      <w:lang w:eastAsia="ja-JP"/>
    </w:r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Heading1"/>
    <w:qFormat/>
    <w:rsid w:val="004748B2"/>
  </w:style>
  <w:style w:type="paragraph" w:styleId="Heading1">
    <w:name w:val="heading 1"/>
    <w:basedOn w:val="Normal"/>
    <w:next w:val="Normal"/>
    <w:link w:val="Heading1Char"/>
    <w:uiPriority w:val="9"/>
    <w:qFormat/>
    <w:rsid w:val="004748B2"/>
    <w:pPr>
      <w:keepNext/>
      <w:keepLines/>
      <w:pageBreakBefore/>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838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388D"/>
  </w:style>
  <w:style w:type="paragraph" w:styleId="Footer">
    <w:name w:val="footer"/>
    <w:basedOn w:val="Normal"/>
    <w:link w:val="FooterChar"/>
    <w:uiPriority w:val="99"/>
    <w:unhideWhenUsed/>
    <w:rsid w:val="00A838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388D"/>
  </w:style>
  <w:style w:type="paragraph" w:styleId="BalloonText">
    <w:name w:val="Balloon Text"/>
    <w:basedOn w:val="Normal"/>
    <w:link w:val="BalloonTextChar"/>
    <w:uiPriority w:val="99"/>
    <w:semiHidden/>
    <w:unhideWhenUsed/>
    <w:rsid w:val="00A838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388D"/>
    <w:rPr>
      <w:rFonts w:ascii="Tahoma" w:hAnsi="Tahoma" w:cs="Tahoma"/>
      <w:sz w:val="16"/>
      <w:szCs w:val="16"/>
    </w:rPr>
  </w:style>
  <w:style w:type="character" w:customStyle="1" w:styleId="Heading1Char">
    <w:name w:val="Heading 1 Char"/>
    <w:basedOn w:val="DefaultParagraphFont"/>
    <w:link w:val="Heading1"/>
    <w:uiPriority w:val="9"/>
    <w:rsid w:val="004748B2"/>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084080"/>
    <w:pPr>
      <w:pageBreakBefore w:val="0"/>
      <w:outlineLvl w:val="9"/>
    </w:pPr>
    <w:rPr>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433254588" Type="http://schemas.openxmlformats.org/officeDocument/2006/relationships/numbering" Target="numbering.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3199CF-FB44-E149-9536-65C0BC28A9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Pages>
  <Words>1</Words>
  <Characters>10</Characters>
  <Application>Microsoft Macintosh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BookRags, Inc.</Company>
  <LinksUpToDate>false</LinksUpToDate>
  <CharactersWithSpaces>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Damian Wadley</dc:creator>
  <cp:keywords/>
  <dc:description/>
  <cp:lastModifiedBy>First name</cp:lastModifiedBy>
  <cp:revision>14</cp:revision>
  <dcterms:created xsi:type="dcterms:W3CDTF">2014-04-10T22:38:00Z</dcterms:created>
  <dcterms:modified xsi:type="dcterms:W3CDTF">2014-10-13T22:53:00Z</dcterms:modified>
</cp:coreProperties>
</file>