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Gambling, Pathological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Gambling, Pathological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9097866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Gambling, Pathological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Uncontrollable impulse to gamble, regardless of the problems caused in daily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Pathological gambling, a pattern of repeated gambling and preoccupation with gambling, often begins in </w:t>
      </w:r>
      <w:r>
        <w:rPr>
          <w:b/>
          <w:color w:val="000000"/>
          <w:sz w:val="24"/>
          <w:szCs w:val="24"/>
        </w:rPr>
        <w:t xml:space="preserve">adolescence</w:t>
      </w:r>
      <w:r>
        <w:rPr>
          <w:color w:val="000000"/>
          <w:sz w:val="24"/>
          <w:szCs w:val="24"/>
        </w:rPr>
        <w:t xml:space="preserve"> in males, and somewhat later in females. In dividuals with this disorder often experience a progression in their gambling, becoming increasingly preoccupied with gambling, increasing the amounts wagered, and often continuing to gamble despite attempts to stop or control the behavior.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See Also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Impulse Control Disorders.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78075">
    <w:multiLevelType w:val="hybridMultilevel"/>
    <w:lvl w:ilvl="0" w:tplc="94138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78075">
    <w:abstractNumId w:val="66978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3490198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